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0771" w14:textId="2035D732" w:rsidR="00D910E4" w:rsidRDefault="00D910E4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10E261F6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D815E1">
        <w:rPr>
          <w:rFonts w:ascii="Arial" w:eastAsia="Times New Roman" w:hAnsi="Arial" w:cs="Arial"/>
          <w:b/>
          <w:bCs/>
          <w:sz w:val="24"/>
          <w:szCs w:val="24"/>
        </w:rPr>
        <w:t>August 26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</w:t>
      </w:r>
      <w:r w:rsidR="000E0DF6">
        <w:rPr>
          <w:rFonts w:ascii="Arial" w:eastAsia="Times New Roman" w:hAnsi="Arial" w:cs="Arial"/>
          <w:b/>
          <w:bCs/>
          <w:sz w:val="24"/>
          <w:szCs w:val="24"/>
        </w:rPr>
        <w:t>20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3F45A482" w:rsidR="00076E9A" w:rsidRDefault="00E461AE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</w:t>
      </w:r>
      <w:r w:rsidR="008C1FA8">
        <w:rPr>
          <w:rFonts w:ascii="Arial" w:eastAsia="Times New Roman" w:hAnsi="Arial" w:cs="Arial"/>
          <w:sz w:val="24"/>
          <w:szCs w:val="24"/>
        </w:rPr>
        <w:t>:</w:t>
      </w:r>
      <w:r w:rsidR="00C00338">
        <w:rPr>
          <w:rFonts w:ascii="Arial" w:eastAsia="Times New Roman" w:hAnsi="Arial" w:cs="Arial"/>
          <w:sz w:val="24"/>
          <w:szCs w:val="24"/>
        </w:rPr>
        <w:t>03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</w:t>
      </w:r>
      <w:r w:rsidR="0047397E">
        <w:rPr>
          <w:rFonts w:ascii="Arial" w:eastAsia="Times New Roman" w:hAnsi="Arial" w:cs="Arial"/>
          <w:sz w:val="24"/>
          <w:szCs w:val="24"/>
        </w:rPr>
        <w:t xml:space="preserve"> </w:t>
      </w:r>
      <w:r w:rsidR="00601A10">
        <w:rPr>
          <w:rFonts w:ascii="Arial" w:eastAsia="Times New Roman" w:hAnsi="Arial" w:cs="Arial"/>
          <w:sz w:val="24"/>
          <w:szCs w:val="24"/>
        </w:rPr>
        <w:t>Karin Humiston</w:t>
      </w:r>
      <w:r w:rsidR="00076E9A" w:rsidRPr="00076E9A">
        <w:rPr>
          <w:rFonts w:ascii="Arial" w:eastAsia="Times New Roman" w:hAnsi="Arial" w:cs="Arial"/>
          <w:sz w:val="24"/>
          <w:szCs w:val="24"/>
        </w:rPr>
        <w:t>.</w:t>
      </w:r>
    </w:p>
    <w:p w14:paraId="2F3E3936" w14:textId="5FBCDAEF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resent</w:t>
      </w:r>
      <w:r w:rsidR="005B3AFF">
        <w:rPr>
          <w:rFonts w:ascii="Arial" w:eastAsia="Times New Roman" w:hAnsi="Arial" w:cs="Arial"/>
          <w:i/>
          <w:iCs/>
          <w:sz w:val="20"/>
          <w:szCs w:val="20"/>
        </w:rPr>
        <w:t>:</w:t>
      </w:r>
      <w:r w:rsidR="005B3AFF" w:rsidRPr="005B3AF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Honorable Mark Magit,</w:t>
      </w:r>
      <w:r w:rsid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 xml:space="preserve">Chief of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Probation Karin Humiston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0B22A7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B42CB3"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B42CB3">
        <w:rPr>
          <w:rFonts w:ascii="Arial" w:eastAsia="Times New Roman" w:hAnsi="Arial" w:cs="Arial"/>
          <w:i/>
          <w:iCs/>
          <w:sz w:val="20"/>
          <w:szCs w:val="20"/>
        </w:rPr>
        <w:t>Jeremy Ibrahim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546BC3BD" w14:textId="33B426F4" w:rsidR="009C5F10" w:rsidRDefault="009C5F10" w:rsidP="00D910E4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7B579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601A10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Kendall, Sheriff Ingrid Braun</w:t>
      </w:r>
      <w:r w:rsidR="00601A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601A10" w:rsidRPr="003F7090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E461AE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="00E461A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14:paraId="407A9B33" w14:textId="2F02442B" w:rsidR="00B42CB3" w:rsidRPr="00B42CB3" w:rsidRDefault="00762CEE" w:rsidP="00B42CB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 w:rsidR="009F06D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F06D8"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 w:rsidR="009F06D8"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 w:rsidRPr="00B42CB3">
        <w:rPr>
          <w:rFonts w:ascii="Arial" w:eastAsia="Times New Roman" w:hAnsi="Arial" w:cs="Arial"/>
          <w:i/>
          <w:iCs/>
          <w:sz w:val="24"/>
          <w:szCs w:val="24"/>
        </w:rPr>
        <w:tab/>
      </w: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39"/>
        <w:gridCol w:w="7417"/>
        <w:gridCol w:w="110"/>
        <w:gridCol w:w="110"/>
        <w:gridCol w:w="110"/>
        <w:gridCol w:w="110"/>
        <w:gridCol w:w="125"/>
      </w:tblGrid>
      <w:tr w:rsidR="00B42CB3" w:rsidRPr="00B42CB3" w14:paraId="71567AB1" w14:textId="77777777" w:rsidTr="000B6601">
        <w:trPr>
          <w:tblCellSpacing w:w="15" w:type="dxa"/>
        </w:trPr>
        <w:tc>
          <w:tcPr>
            <w:tcW w:w="400" w:type="pct"/>
            <w:hideMark/>
          </w:tcPr>
          <w:p w14:paraId="3AA0D3D0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0" w:type="pct"/>
            <w:vAlign w:val="center"/>
            <w:hideMark/>
          </w:tcPr>
          <w:p w14:paraId="46EA95B3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0" w:type="pct"/>
            <w:hideMark/>
          </w:tcPr>
          <w:p w14:paraId="307DC447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Minutes</w:t>
            </w:r>
          </w:p>
        </w:tc>
        <w:tc>
          <w:tcPr>
            <w:tcW w:w="66" w:type="dxa"/>
            <w:vAlign w:val="center"/>
            <w:hideMark/>
          </w:tcPr>
          <w:p w14:paraId="63DF9FDF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" w:type="dxa"/>
            <w:vAlign w:val="center"/>
            <w:hideMark/>
          </w:tcPr>
          <w:p w14:paraId="1505242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014996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7F3203B4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" w:type="dxa"/>
            <w:vAlign w:val="center"/>
            <w:hideMark/>
          </w:tcPr>
          <w:p w14:paraId="3CC51F81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ADC88C" w14:textId="77777777" w:rsidR="00B42CB3" w:rsidRPr="00B42CB3" w:rsidRDefault="00B42CB3" w:rsidP="00B42C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1"/>
        <w:gridCol w:w="794"/>
        <w:gridCol w:w="6440"/>
        <w:gridCol w:w="288"/>
        <w:gridCol w:w="288"/>
        <w:gridCol w:w="288"/>
        <w:gridCol w:w="288"/>
        <w:gridCol w:w="303"/>
      </w:tblGrid>
      <w:tr w:rsidR="00B42CB3" w:rsidRPr="00B42CB3" w14:paraId="26B14E00" w14:textId="77777777" w:rsidTr="000B6601">
        <w:trPr>
          <w:tblCellSpacing w:w="15" w:type="dxa"/>
        </w:trPr>
        <w:tc>
          <w:tcPr>
            <w:tcW w:w="335" w:type="pct"/>
            <w:vAlign w:val="center"/>
            <w:hideMark/>
          </w:tcPr>
          <w:p w14:paraId="2EF35A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pct"/>
            <w:vAlign w:val="center"/>
            <w:hideMark/>
          </w:tcPr>
          <w:p w14:paraId="48D96C30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vAlign w:val="center"/>
            <w:hideMark/>
          </w:tcPr>
          <w:p w14:paraId="581856B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8C365D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3B262419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4143A1C2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5AA15EA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vAlign w:val="center"/>
            <w:hideMark/>
          </w:tcPr>
          <w:p w14:paraId="7BB9EC75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08FCCA44" w14:textId="77777777" w:rsidTr="000B6601">
        <w:trPr>
          <w:tblCellSpacing w:w="15" w:type="dxa"/>
        </w:trPr>
        <w:tc>
          <w:tcPr>
            <w:tcW w:w="335" w:type="pct"/>
            <w:hideMark/>
          </w:tcPr>
          <w:p w14:paraId="7B0A157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4CE64A4D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9" w:type="pct"/>
            <w:hideMark/>
          </w:tcPr>
          <w:p w14:paraId="39BD3E5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 Committee Minutes</w:t>
            </w:r>
          </w:p>
        </w:tc>
        <w:tc>
          <w:tcPr>
            <w:tcW w:w="138" w:type="pct"/>
            <w:hideMark/>
          </w:tcPr>
          <w:p w14:paraId="2C0C9B2B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7AA9901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60AC463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761CDC9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4C4833E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2CB3" w:rsidRPr="00B42CB3" w14:paraId="688D653E" w14:textId="77777777" w:rsidTr="000B6601">
        <w:trPr>
          <w:trHeight w:val="657"/>
          <w:tblCellSpacing w:w="15" w:type="dxa"/>
        </w:trPr>
        <w:tc>
          <w:tcPr>
            <w:tcW w:w="335" w:type="pct"/>
            <w:hideMark/>
          </w:tcPr>
          <w:p w14:paraId="64E84AE6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hideMark/>
          </w:tcPr>
          <w:p w14:paraId="3E8E3C3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pct"/>
            <w:hideMark/>
          </w:tcPr>
          <w:p w14:paraId="42AD8AC0" w14:textId="6BFF7598" w:rsidR="00B42CB3" w:rsidRPr="00E461AE" w:rsidRDefault="00B42CB3" w:rsidP="00E461A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Approval of minutes of the regular meeting held </w:t>
            </w:r>
            <w:r w:rsidR="000B22A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</w:t>
            </w:r>
            <w:r w:rsid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 22, 2020</w:t>
            </w:r>
            <w:r w:rsidRPr="00B42C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5D4D921E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FCDB2B" w14:textId="14904FDC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2C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01A10" w:rsidRP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 tabled</w:t>
            </w:r>
            <w:r w:rsid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two of the members present at the July 22, 2020 meeting are not present at today’s meeting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601A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Item will be brought back at the October 21, 2020 meeting.</w:t>
            </w:r>
          </w:p>
          <w:p w14:paraId="10DB71EE" w14:textId="4DAE7BCC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195381B" w14:textId="7F545F71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Hlk37915779"/>
          </w:p>
          <w:p w14:paraId="62DE7EEA" w14:textId="0CB7C36F" w:rsidR="00601A10" w:rsidRDefault="00601A10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52C6A6F" w14:textId="77777777" w:rsidR="00601A10" w:rsidRDefault="00601A10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AFD707" w14:textId="2CD8F492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A2B5464" w14:textId="0B514185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74B3FD7" w14:textId="77777777" w:rsidR="00805DBB" w:rsidRDefault="00805DBB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F7B6546" w14:textId="4B73F303" w:rsidR="00762CEE" w:rsidRDefault="00762CEE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A3E98F3" w14:textId="4F1B0CD5" w:rsidR="00762CEE" w:rsidRDefault="00762CEE" w:rsidP="00B42C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bookmarkEnd w:id="0"/>
          <w:p w14:paraId="61F02C2B" w14:textId="77777777" w:rsid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871C93" w14:textId="16B0BAD9" w:rsidR="00B42CB3" w:rsidRPr="00B42CB3" w:rsidRDefault="00B42CB3" w:rsidP="00B42CB3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0E600C92" w14:textId="77777777" w:rsidR="00B42CB3" w:rsidRPr="00B42CB3" w:rsidRDefault="00B42CB3" w:rsidP="00B42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" w:type="pct"/>
            <w:hideMark/>
          </w:tcPr>
          <w:p w14:paraId="15CEF65D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3FCDFF8A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CD11BFC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" w:type="pct"/>
            <w:hideMark/>
          </w:tcPr>
          <w:p w14:paraId="5D2B7DFE" w14:textId="77777777" w:rsidR="00B42CB3" w:rsidRPr="00B42CB3" w:rsidRDefault="00B42CB3" w:rsidP="00B4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E864DD" w14:textId="77777777" w:rsid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49C108F" w14:textId="74BDB57D" w:rsidR="00762CEE" w:rsidRPr="00762CEE" w:rsidRDefault="00787BC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2CEE"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4887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2954"/>
        <w:gridCol w:w="3213"/>
        <w:gridCol w:w="2422"/>
      </w:tblGrid>
      <w:tr w:rsidR="00762CEE" w:rsidRPr="00762CEE" w14:paraId="19719FF7" w14:textId="77777777" w:rsidTr="00CE2595">
        <w:trPr>
          <w:gridAfter w:val="1"/>
          <w:wAfter w:w="1292" w:type="pct"/>
          <w:trHeight w:val="3380"/>
          <w:tblCellSpacing w:w="15" w:type="dxa"/>
        </w:trPr>
        <w:tc>
          <w:tcPr>
            <w:tcW w:w="282" w:type="pct"/>
            <w:hideMark/>
          </w:tcPr>
          <w:p w14:paraId="0DF080BB" w14:textId="77777777" w:rsidR="00762CEE" w:rsidRDefault="00762CEE" w:rsidP="0041078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810E00" w14:textId="77777777" w:rsidR="000E216B" w:rsidRPr="000E216B" w:rsidRDefault="000E216B" w:rsidP="00410789">
            <w:pPr>
              <w:jc w:val="right"/>
            </w:pPr>
          </w:p>
          <w:p w14:paraId="2434D34C" w14:textId="77777777" w:rsidR="000E216B" w:rsidRPr="000E216B" w:rsidRDefault="000E216B" w:rsidP="00410789">
            <w:pPr>
              <w:jc w:val="right"/>
            </w:pPr>
          </w:p>
          <w:p w14:paraId="65634B26" w14:textId="77777777" w:rsidR="000E216B" w:rsidRPr="000E216B" w:rsidRDefault="000E216B" w:rsidP="00410789">
            <w:pPr>
              <w:jc w:val="right"/>
            </w:pPr>
          </w:p>
          <w:p w14:paraId="101B0AA4" w14:textId="77777777" w:rsidR="000E216B" w:rsidRPr="000E216B" w:rsidRDefault="000E216B" w:rsidP="00410789">
            <w:pPr>
              <w:jc w:val="right"/>
            </w:pPr>
          </w:p>
          <w:p w14:paraId="14BA4D7D" w14:textId="77777777" w:rsidR="000E216B" w:rsidRPr="000E216B" w:rsidRDefault="000E216B" w:rsidP="00410789">
            <w:pPr>
              <w:jc w:val="right"/>
            </w:pPr>
          </w:p>
          <w:p w14:paraId="670F9E7A" w14:textId="77777777" w:rsidR="000E216B" w:rsidRPr="000E216B" w:rsidRDefault="000E216B" w:rsidP="00410789">
            <w:pPr>
              <w:jc w:val="right"/>
            </w:pPr>
          </w:p>
          <w:p w14:paraId="6A7C915F" w14:textId="77777777" w:rsidR="000E216B" w:rsidRPr="000E216B" w:rsidRDefault="000E216B" w:rsidP="00410789">
            <w:pPr>
              <w:jc w:val="right"/>
            </w:pPr>
          </w:p>
          <w:p w14:paraId="40FDE115" w14:textId="77777777" w:rsidR="000E216B" w:rsidRPr="000E216B" w:rsidRDefault="000E216B" w:rsidP="00410789">
            <w:pPr>
              <w:jc w:val="right"/>
            </w:pPr>
          </w:p>
          <w:p w14:paraId="26C7C76C" w14:textId="77777777" w:rsidR="000E216B" w:rsidRDefault="000E216B" w:rsidP="004107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9E5ED" w14:textId="2C5D50DB" w:rsidR="000E216B" w:rsidRPr="000E216B" w:rsidRDefault="000E216B" w:rsidP="00410789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14:paraId="7709AF26" w14:textId="77777777" w:rsidR="000E216B" w:rsidRDefault="000E216B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F5160F" w14:textId="77777777" w:rsidR="00497223" w:rsidRDefault="00497223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7C81E" w14:textId="6478F6D6" w:rsidR="00497223" w:rsidRPr="00994C0E" w:rsidRDefault="007E78FB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97223" w:rsidRPr="00994C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97223" w:rsidRPr="00994C0E">
              <w:rPr>
                <w:rFonts w:ascii="Arial" w:hAnsi="Arial" w:cs="Arial"/>
                <w:b/>
                <w:bCs/>
              </w:rPr>
              <w:t>.</w:t>
            </w:r>
          </w:p>
          <w:p w14:paraId="62878CB3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17AC0B4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D3C165F" w14:textId="77777777" w:rsidR="00FB592E" w:rsidRPr="00FB592E" w:rsidRDefault="00FB592E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884954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88E7A6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06301D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9572C3" w14:textId="77777777" w:rsidR="007E78FB" w:rsidRDefault="007E78FB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07F8B1" w14:textId="77777777" w:rsidR="00FB592E" w:rsidRDefault="00FB592E" w:rsidP="00410789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DBDF79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CBFC0C0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894A7C4" w14:textId="77777777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DE3E4F5" w14:textId="77777777" w:rsidR="00410789" w:rsidRDefault="00410789" w:rsidP="0041078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207E23" w14:textId="42B4063B" w:rsidR="00410789" w:rsidRDefault="00410789" w:rsidP="00410789">
            <w:pPr>
              <w:tabs>
                <w:tab w:val="left" w:pos="465"/>
              </w:tabs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623411B8" w14:textId="5AD37AF2" w:rsidR="00410789" w:rsidRPr="00410789" w:rsidRDefault="00410789" w:rsidP="0041078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1" w:type="pct"/>
            <w:gridSpan w:val="2"/>
            <w:hideMark/>
          </w:tcPr>
          <w:p w14:paraId="57514A6A" w14:textId="36D9C993" w:rsid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Review of the Draft CCP Report</w:t>
            </w:r>
          </w:p>
          <w:p w14:paraId="64A0BC2B" w14:textId="7777777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55FA600" w14:textId="1B88FAD1" w:rsidR="000E216B" w:rsidRDefault="000E216B" w:rsidP="004107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Karin will provide an update from the report writing group, review of final comments received and discuss latest draft edits.</w:t>
            </w:r>
          </w:p>
          <w:p w14:paraId="41700273" w14:textId="710AEEB4" w:rsidR="000E216B" w:rsidRPr="00C858B3" w:rsidRDefault="000E216B" w:rsidP="0041078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Committee will discuss and approve a final draft.</w:t>
            </w:r>
          </w:p>
          <w:p w14:paraId="011AD551" w14:textId="7777777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76283D" w14:textId="211934D5" w:rsid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Recommended Action: </w:t>
            </w: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 a final draft of the CCP Report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send to the design company for production.</w:t>
            </w:r>
          </w:p>
          <w:p w14:paraId="41A627B7" w14:textId="1E4E6A4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4FF49E" w14:textId="2064EAB5" w:rsidR="000E216B" w:rsidRP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E21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97223" w:rsidRPr="00497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There were no further comments to the draft</w:t>
            </w:r>
            <w:r w:rsidR="00497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Motion to approve the draft as presented made by Ibrahim and second by Roberts</w:t>
            </w:r>
            <w:r w:rsidRPr="000E21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654D00DD" w14:textId="1B1C4BBA" w:rsidR="00497223" w:rsidRDefault="00497223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Ibrahim m</w:t>
            </w:r>
            <w:r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oved;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Roberts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seconded</w:t>
            </w:r>
          </w:p>
          <w:p w14:paraId="1F09D7FD" w14:textId="7B588612" w:rsidR="000E216B" w:rsidRDefault="00497223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</w:t>
            </w:r>
          </w:p>
          <w:p w14:paraId="0E1C5308" w14:textId="77777777" w:rsidR="00497223" w:rsidRPr="00497223" w:rsidRDefault="00497223" w:rsidP="0041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FBEC83" w14:textId="77777777" w:rsidR="00994C0E" w:rsidRDefault="00994C0E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082C39" w14:textId="48C25BD1" w:rsidR="000E216B" w:rsidRPr="00994C0E" w:rsidRDefault="000E216B" w:rsidP="00410789">
            <w:pPr>
              <w:pStyle w:val="ListParagraph"/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4C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FY 2020/21 Calendar</w:t>
            </w:r>
          </w:p>
          <w:p w14:paraId="5E9549D7" w14:textId="77777777" w:rsidR="000E216B" w:rsidRPr="00C858B3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858B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Executive Committee will discuss and approve the 2020/21 calendar of meetings.</w:t>
            </w:r>
          </w:p>
          <w:p w14:paraId="203EB3B8" w14:textId="77777777" w:rsidR="000E216B" w:rsidRDefault="000E216B" w:rsidP="004107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08161ED" w14:textId="76DCB4D2" w:rsidR="000E216B" w:rsidRDefault="000E216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Recommended Action: </w:t>
            </w:r>
            <w:r w:rsidRPr="00EE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Set dates for 2020/21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Executive Committee and General Committee </w:t>
            </w:r>
            <w:r w:rsidRPr="00EE2E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meetings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14:paraId="0C11D0E2" w14:textId="2287137E" w:rsidR="00994C0E" w:rsidRDefault="00994C0E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30394C0" w14:textId="6713DC5A" w:rsidR="00994C0E" w:rsidRDefault="00994C0E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94C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Action: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7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 was discussed to keep the meetings on the third Wednesday of the month for both General Committee and Executive Committee, and to go to every other month</w:t>
            </w:r>
            <w:r w:rsidRPr="00994C0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="007E7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Following dates October 21, 2020, December 16, 2020, February 17, 2021, April 21, 2021, June 16, 2021, and August 18, 2021.</w:t>
            </w:r>
          </w:p>
          <w:p w14:paraId="602B3397" w14:textId="2F59546F" w:rsidR="007E78FB" w:rsidRDefault="007E78F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Roberts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m</w:t>
            </w:r>
            <w:r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oved;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Ibrahim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414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seconded</w:t>
            </w:r>
          </w:p>
          <w:p w14:paraId="74670151" w14:textId="77777777" w:rsidR="007E78FB" w:rsidRDefault="007E78FB" w:rsidP="00410789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Vote: 4 Yes; 0 No</w:t>
            </w:r>
          </w:p>
          <w:p w14:paraId="29ECB084" w14:textId="77777777" w:rsidR="007E78FB" w:rsidRDefault="007E78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0009E8" w14:textId="3184A623" w:rsidR="00FB592E" w:rsidRDefault="00FB592E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8E65925" w14:textId="47F6A9E9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E11A1F" w14:textId="77777777" w:rsidR="00410789" w:rsidRDefault="00410789" w:rsidP="00410789">
            <w:pPr>
              <w:spacing w:before="40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CDAB4B1" w14:textId="77777777" w:rsidR="00410789" w:rsidRDefault="00410789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91D260" w14:textId="51F05E0C" w:rsidR="00410789" w:rsidRPr="00410789" w:rsidRDefault="00B84D8C" w:rsidP="0041078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410789" w:rsidRPr="004107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Presentation to the Board of Supervisors</w:t>
            </w:r>
          </w:p>
          <w:p w14:paraId="48B95BAA" w14:textId="5F404391" w:rsidR="00410789" w:rsidRPr="00410789" w:rsidRDefault="00410789" w:rsidP="00410789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107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 presentation of the approved CCP report and the FY 2020-21 Executive Committee recommended budget will be presented to the Board of Supervisors at their regular meeting on September 15, 2020.</w:t>
            </w:r>
          </w:p>
          <w:p w14:paraId="28263988" w14:textId="05EACB61" w:rsidR="00FB592E" w:rsidRDefault="00FB592E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B11D7EF" w14:textId="0695D9F9" w:rsidR="006716FB" w:rsidRDefault="006716FB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73CE8D" w14:textId="7C06C1F2" w:rsidR="00762CEE" w:rsidRDefault="00410789" w:rsidP="00CE25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</w:t>
            </w:r>
            <w:r w:rsidR="006716FB" w:rsidRPr="006716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Recommended Action:</w:t>
            </w:r>
            <w:r w:rsidR="006716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None, Informational </w:t>
            </w:r>
            <w:r w:rsidR="00CE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Only   </w:t>
            </w:r>
          </w:p>
          <w:p w14:paraId="0C6F0C92" w14:textId="1B41E61A" w:rsidR="00B84D8C" w:rsidRDefault="00B84D8C" w:rsidP="004107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253B9A" w14:textId="50120F79" w:rsidR="00B84D8C" w:rsidRDefault="00B84D8C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84D8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Discussion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Members of the Executive Committee were invited to join the presentation. Roberts and Ibrahim said they would like to </w:t>
            </w:r>
            <w:r w:rsidR="00CE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Humiston will present the updated plan and report, </w:t>
            </w:r>
            <w:r w:rsidR="00CE25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will reach out to Kendall, Braun and Kathy Peterson to see if they would like to join the presentation as well.</w:t>
            </w:r>
          </w:p>
          <w:p w14:paraId="5FE86DD2" w14:textId="72C9FB76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9C0C678" w14:textId="038AB2F4" w:rsidR="00CE2595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695003" w14:textId="77777777" w:rsidR="00CE2595" w:rsidRDefault="00CE2595" w:rsidP="00CE2595">
            <w:pPr>
              <w:pStyle w:val="NoSpacing"/>
              <w:spacing w:line="360" w:lineRule="auto"/>
              <w:ind w:left="36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Adjourned at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103319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AFFE772" w14:textId="77777777" w:rsidR="00CE2595" w:rsidRPr="00B84D8C" w:rsidRDefault="00CE2595" w:rsidP="00B84D8C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C9F2B9" w14:textId="77777777" w:rsidR="00762CEE" w:rsidRPr="00762CEE" w:rsidRDefault="00762CEE" w:rsidP="00410789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216B" w:rsidRPr="00E074A5" w14:paraId="161BE57C" w14:textId="77777777" w:rsidTr="00CE259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9989" w14:textId="600C60A8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0F7C" w14:textId="6B4089A0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7D9A06C3" w14:textId="77777777" w:rsidTr="00CE259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1" w:type="pct"/>
            <w:gridSpan w:val="2"/>
            <w:noWrap/>
            <w:hideMark/>
          </w:tcPr>
          <w:p w14:paraId="473F8CEE" w14:textId="55E4F242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59DB" w14:textId="25ECBD4E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E074A5" w14:paraId="4EEA6EB3" w14:textId="77777777" w:rsidTr="00CE2595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/>
        </w:trPr>
        <w:tc>
          <w:tcPr>
            <w:tcW w:w="1891" w:type="pct"/>
            <w:gridSpan w:val="2"/>
            <w:noWrap/>
            <w:hideMark/>
          </w:tcPr>
          <w:p w14:paraId="19026FBD" w14:textId="4B2EB707" w:rsidR="000E216B" w:rsidRPr="00E074A5" w:rsidRDefault="000E216B" w:rsidP="00CD3F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53BF" w14:textId="06272EAF" w:rsidR="000E216B" w:rsidRPr="00E074A5" w:rsidRDefault="000E216B" w:rsidP="00CD3FC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216B" w:rsidRPr="00762CEE" w14:paraId="148B14D5" w14:textId="77777777" w:rsidTr="00CE2595">
        <w:trPr>
          <w:gridAfter w:val="1"/>
          <w:wAfter w:w="1292" w:type="pct"/>
          <w:trHeight w:val="281"/>
          <w:tblCellSpacing w:w="15" w:type="dxa"/>
        </w:trPr>
        <w:tc>
          <w:tcPr>
            <w:tcW w:w="282" w:type="pct"/>
          </w:tcPr>
          <w:p w14:paraId="418D367A" w14:textId="77777777" w:rsidR="000E216B" w:rsidRPr="00762CEE" w:rsidRDefault="000E216B" w:rsidP="00C84254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1" w:type="pct"/>
            <w:gridSpan w:val="2"/>
          </w:tcPr>
          <w:p w14:paraId="616FAEA0" w14:textId="77777777" w:rsidR="000E216B" w:rsidRDefault="000E216B" w:rsidP="00C41F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427056" w14:textId="19209751" w:rsidR="00762CEE" w:rsidRPr="00762CEE" w:rsidRDefault="00762CEE" w:rsidP="00762CEE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51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1"/>
      </w:tblGrid>
      <w:tr w:rsidR="00762CEE" w:rsidRPr="00762CEE" w14:paraId="77DF2E3E" w14:textId="77777777" w:rsidTr="00762CEE">
        <w:trPr>
          <w:tblCellSpacing w:w="15" w:type="dxa"/>
        </w:trPr>
        <w:tc>
          <w:tcPr>
            <w:tcW w:w="4709" w:type="pct"/>
            <w:hideMark/>
          </w:tcPr>
          <w:p w14:paraId="5ADC7FAA" w14:textId="77777777" w:rsidR="00762CEE" w:rsidRPr="00762CEE" w:rsidRDefault="00762CEE" w:rsidP="0076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8171A4" w14:textId="287CA19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Attest</w:t>
      </w:r>
    </w:p>
    <w:p w14:paraId="504F0ED1" w14:textId="77777777" w:rsidR="00CE2595" w:rsidRDefault="00CE2595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4636D300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7C7DA498" w14:textId="5B09D358" w:rsidR="009F372C" w:rsidRPr="00E14419" w:rsidRDefault="00CE2595" w:rsidP="00E14419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Karin Humiston</w:t>
      </w:r>
    </w:p>
    <w:sectPr w:rsidR="009F372C" w:rsidRPr="00E14419" w:rsidSect="008757B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CF392" w14:textId="77777777" w:rsidR="00D910E4" w:rsidRDefault="00D910E4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D910E4" w:rsidRDefault="00D910E4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163" w14:textId="6E90CF4A" w:rsidR="00D910E4" w:rsidRDefault="00D910E4" w:rsidP="009A4D62">
    <w:pPr>
      <w:pStyle w:val="Footer"/>
      <w:jc w:val="center"/>
    </w:pPr>
    <w:bookmarkStart w:id="1" w:name="_Hlk513818429"/>
    <w:bookmarkStart w:id="2" w:name="_Hlk513818430"/>
    <w:bookmarkStart w:id="3" w:name="_Hlk529856810"/>
    <w:bookmarkStart w:id="4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1"/>
    <w:bookmarkEnd w:id="2"/>
    <w:bookmarkEnd w:id="3"/>
    <w:bookmarkEnd w:id="4"/>
    <w:r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70A9A" w14:textId="77777777" w:rsidR="00D910E4" w:rsidRDefault="00D910E4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D910E4" w:rsidRDefault="00D910E4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7BD7" w14:textId="5DDDE11C" w:rsidR="00D910E4" w:rsidRDefault="00D910E4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FF6AB6">
      <w:rPr>
        <w:rFonts w:ascii="Arial" w:hAnsi="Arial" w:cs="Arial"/>
        <w:bCs/>
        <w:sz w:val="18"/>
        <w:szCs w:val="18"/>
      </w:rPr>
      <w:t>August 26</w:t>
    </w:r>
    <w:r>
      <w:rPr>
        <w:rFonts w:ascii="Arial" w:hAnsi="Arial" w:cs="Arial"/>
        <w:bCs/>
        <w:sz w:val="18"/>
        <w:szCs w:val="18"/>
      </w:rPr>
      <w:t>, 2020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="00112D82">
      <w:rPr>
        <w:rFonts w:ascii="Arial" w:hAnsi="Arial" w:cs="Arial"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724B"/>
    <w:multiLevelType w:val="multilevel"/>
    <w:tmpl w:val="CF7661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74F06"/>
    <w:multiLevelType w:val="hybridMultilevel"/>
    <w:tmpl w:val="7CA2F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2AFE"/>
    <w:multiLevelType w:val="hybridMultilevel"/>
    <w:tmpl w:val="2416C39C"/>
    <w:lvl w:ilvl="0" w:tplc="8E5CE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549C7"/>
    <w:multiLevelType w:val="hybridMultilevel"/>
    <w:tmpl w:val="4A7E51CC"/>
    <w:lvl w:ilvl="0" w:tplc="EF7E56A2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241E"/>
    <w:multiLevelType w:val="hybridMultilevel"/>
    <w:tmpl w:val="8DE02E56"/>
    <w:lvl w:ilvl="0" w:tplc="EF7E56A2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FB2F14"/>
    <w:multiLevelType w:val="hybridMultilevel"/>
    <w:tmpl w:val="DCB24016"/>
    <w:lvl w:ilvl="0" w:tplc="E4E82FA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D68A1"/>
    <w:multiLevelType w:val="hybridMultilevel"/>
    <w:tmpl w:val="73BC59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18"/>
  </w:num>
  <w:num w:numId="9">
    <w:abstractNumId w:val="4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15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36E6C"/>
    <w:rsid w:val="00063333"/>
    <w:rsid w:val="00076E9A"/>
    <w:rsid w:val="000A23C6"/>
    <w:rsid w:val="000B22A7"/>
    <w:rsid w:val="000E0DF6"/>
    <w:rsid w:val="000E216B"/>
    <w:rsid w:val="000E622F"/>
    <w:rsid w:val="000F7A67"/>
    <w:rsid w:val="00103319"/>
    <w:rsid w:val="00112D82"/>
    <w:rsid w:val="00120F86"/>
    <w:rsid w:val="00131159"/>
    <w:rsid w:val="001336CC"/>
    <w:rsid w:val="001414B3"/>
    <w:rsid w:val="0014478D"/>
    <w:rsid w:val="00150DCE"/>
    <w:rsid w:val="00165A3C"/>
    <w:rsid w:val="001C08BA"/>
    <w:rsid w:val="001D4D3A"/>
    <w:rsid w:val="00203ABF"/>
    <w:rsid w:val="002200AA"/>
    <w:rsid w:val="00222D3E"/>
    <w:rsid w:val="00233DA8"/>
    <w:rsid w:val="002614B2"/>
    <w:rsid w:val="003227B6"/>
    <w:rsid w:val="0038471C"/>
    <w:rsid w:val="003C1849"/>
    <w:rsid w:val="003C5A62"/>
    <w:rsid w:val="003D6F34"/>
    <w:rsid w:val="003F7090"/>
    <w:rsid w:val="00410789"/>
    <w:rsid w:val="00411D39"/>
    <w:rsid w:val="00431425"/>
    <w:rsid w:val="00431741"/>
    <w:rsid w:val="004658E7"/>
    <w:rsid w:val="0047397E"/>
    <w:rsid w:val="00497223"/>
    <w:rsid w:val="004A43F9"/>
    <w:rsid w:val="004B0D12"/>
    <w:rsid w:val="004B1AD9"/>
    <w:rsid w:val="004B67B5"/>
    <w:rsid w:val="004C3397"/>
    <w:rsid w:val="005078EC"/>
    <w:rsid w:val="00514211"/>
    <w:rsid w:val="0053514E"/>
    <w:rsid w:val="00570DC4"/>
    <w:rsid w:val="00575259"/>
    <w:rsid w:val="0058389B"/>
    <w:rsid w:val="005B3AFF"/>
    <w:rsid w:val="00601A10"/>
    <w:rsid w:val="00605234"/>
    <w:rsid w:val="00610E57"/>
    <w:rsid w:val="0064385D"/>
    <w:rsid w:val="006716FB"/>
    <w:rsid w:val="006905C6"/>
    <w:rsid w:val="0069060D"/>
    <w:rsid w:val="00691C1B"/>
    <w:rsid w:val="007137E8"/>
    <w:rsid w:val="00730BE5"/>
    <w:rsid w:val="00750567"/>
    <w:rsid w:val="00762CEE"/>
    <w:rsid w:val="00786768"/>
    <w:rsid w:val="00787BCE"/>
    <w:rsid w:val="00797757"/>
    <w:rsid w:val="007A5FD4"/>
    <w:rsid w:val="007B5798"/>
    <w:rsid w:val="007C267F"/>
    <w:rsid w:val="007D4DD0"/>
    <w:rsid w:val="007E78FB"/>
    <w:rsid w:val="00805DBB"/>
    <w:rsid w:val="00825C02"/>
    <w:rsid w:val="00834142"/>
    <w:rsid w:val="008757BB"/>
    <w:rsid w:val="00883A2E"/>
    <w:rsid w:val="00890B94"/>
    <w:rsid w:val="008C1FA8"/>
    <w:rsid w:val="008C2F05"/>
    <w:rsid w:val="00933BF0"/>
    <w:rsid w:val="00937B8A"/>
    <w:rsid w:val="00952F83"/>
    <w:rsid w:val="00955CB5"/>
    <w:rsid w:val="00974325"/>
    <w:rsid w:val="009850C5"/>
    <w:rsid w:val="00994C0E"/>
    <w:rsid w:val="009A4D62"/>
    <w:rsid w:val="009B4442"/>
    <w:rsid w:val="009C5F10"/>
    <w:rsid w:val="009E2D94"/>
    <w:rsid w:val="009F06D8"/>
    <w:rsid w:val="009F372C"/>
    <w:rsid w:val="00A04F1B"/>
    <w:rsid w:val="00A47490"/>
    <w:rsid w:val="00A75127"/>
    <w:rsid w:val="00AB39A0"/>
    <w:rsid w:val="00AD74E8"/>
    <w:rsid w:val="00B140CB"/>
    <w:rsid w:val="00B1525C"/>
    <w:rsid w:val="00B153F3"/>
    <w:rsid w:val="00B429A9"/>
    <w:rsid w:val="00B42CB3"/>
    <w:rsid w:val="00B51905"/>
    <w:rsid w:val="00B84D8C"/>
    <w:rsid w:val="00B91C46"/>
    <w:rsid w:val="00B97182"/>
    <w:rsid w:val="00BA0870"/>
    <w:rsid w:val="00BE022E"/>
    <w:rsid w:val="00C00338"/>
    <w:rsid w:val="00C245CB"/>
    <w:rsid w:val="00C36C6C"/>
    <w:rsid w:val="00C41F57"/>
    <w:rsid w:val="00C62DC2"/>
    <w:rsid w:val="00C66373"/>
    <w:rsid w:val="00C84254"/>
    <w:rsid w:val="00CB7E5A"/>
    <w:rsid w:val="00CC440E"/>
    <w:rsid w:val="00CD0D73"/>
    <w:rsid w:val="00CD3273"/>
    <w:rsid w:val="00CE2595"/>
    <w:rsid w:val="00CE26F9"/>
    <w:rsid w:val="00CF5E20"/>
    <w:rsid w:val="00D01096"/>
    <w:rsid w:val="00D4379D"/>
    <w:rsid w:val="00D56327"/>
    <w:rsid w:val="00D629D0"/>
    <w:rsid w:val="00D815E1"/>
    <w:rsid w:val="00D910E4"/>
    <w:rsid w:val="00E14419"/>
    <w:rsid w:val="00E15E1C"/>
    <w:rsid w:val="00E461AE"/>
    <w:rsid w:val="00E96311"/>
    <w:rsid w:val="00EC53EF"/>
    <w:rsid w:val="00ED0837"/>
    <w:rsid w:val="00ED1607"/>
    <w:rsid w:val="00ED3AC1"/>
    <w:rsid w:val="00EE4BF9"/>
    <w:rsid w:val="00EF079E"/>
    <w:rsid w:val="00F004E6"/>
    <w:rsid w:val="00F25793"/>
    <w:rsid w:val="00F62C45"/>
    <w:rsid w:val="00F66DBB"/>
    <w:rsid w:val="00FA3F25"/>
    <w:rsid w:val="00FB592E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A1F0F6F975947BA6B1FD57D7E194C" ma:contentTypeVersion="11" ma:contentTypeDescription="Create a new document." ma:contentTypeScope="" ma:versionID="002e2a84bf7fcca9f8bec12e418fe037">
  <xsd:schema xmlns:xsd="http://www.w3.org/2001/XMLSchema" xmlns:xs="http://www.w3.org/2001/XMLSchema" xmlns:p="http://schemas.microsoft.com/office/2006/metadata/properties" xmlns:ns3="080e2e81-9862-45f9-822e-f059eb6a4ed7" xmlns:ns4="dbea07de-7cad-454b-a419-1ce6e66db0c1" targetNamespace="http://schemas.microsoft.com/office/2006/metadata/properties" ma:root="true" ma:fieldsID="7b34bd28aa682db78409f049f9154c8d" ns3:_="" ns4:_="">
    <xsd:import namespace="080e2e81-9862-45f9-822e-f059eb6a4ed7"/>
    <xsd:import namespace="dbea07de-7cad-454b-a419-1ce6e66db0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e81-9862-45f9-822e-f059eb6a4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07de-7cad-454b-a419-1ce6e66db0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0A566-4134-4E0B-9AC2-8F7CA5987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012BA-C98A-4F67-8D8A-AFCE6E776A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80e2e81-9862-45f9-822e-f059eb6a4ed7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dbea07de-7cad-454b-a419-1ce6e66db0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C728FC-C5E4-4E87-BBA8-930055E6E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e2e81-9862-45f9-822e-f059eb6a4ed7"/>
    <ds:schemaRef ds:uri="dbea07de-7cad-454b-a419-1ce6e66db0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3</cp:revision>
  <cp:lastPrinted>2020-10-20T17:11:00Z</cp:lastPrinted>
  <dcterms:created xsi:type="dcterms:W3CDTF">2020-10-20T15:54:00Z</dcterms:created>
  <dcterms:modified xsi:type="dcterms:W3CDTF">2020-10-20T23:56:00Z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0x0101006E0A1F0F6F975947BA6B1FD57D7E194C</vt:lpwstr>
  </property>
</Properties>
</file>